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default" w:ascii="Times New Roman" w:hAnsi="Times New Roman" w:eastAsia="仿宋_GB2312" w:cs="Times New Roman"/>
          <w:sz w:val="32"/>
          <w:szCs w:val="32"/>
        </w:rPr>
      </w:pPr>
      <w:bookmarkStart w:id="0" w:name="_GoBack"/>
      <w:bookmarkEnd w:id="0"/>
      <w:r>
        <w:rPr>
          <w:rFonts w:hint="default" w:ascii="Times New Roman" w:hAnsi="Times New Roman" w:cs="Times New Roman"/>
        </w:rPr>
        <w:pict>
          <v:group id="_x0000_s1026" o:spid="_x0000_s1026" o:spt="203" style="position:absolute;left:0pt;margin-left:-10.25pt;margin-top:7.75pt;height:681.8pt;width:474.25pt;z-index:251658240;mso-width-relative:page;mso-height-relative:page;" coordsize="9485,13636">
            <o:lock v:ext="edit" grouping="f" rotation="f" text="f" aspectratio="f"/>
            <v:group id="_x0000_s1027" o:spid="_x0000_s1027" o:spt="203" style="position:absolute;left:45;top:0;height:1445;width:9440;" coordsize="9440,1445">
              <o:lock v:ext="edit" grouping="f" rotation="f" text="f" aspectratio="f"/>
              <v:shape id="_x0000_s1028" o:spid="_x0000_s1028" o:spt="136" type="#_x0000_t136" style="position:absolute;left:511;top:0;height:1253;width:8504;" fillcolor="#FF0000" filled="t" stroked="f" coordsize="21600,21600" adj="10800">
                <v:path/>
                <v:fill on="t" focussize="0,0"/>
                <v:stroke on="f"/>
                <v:imagedata o:title=""/>
                <o:lock v:ext="edit" grouping="f" rotation="f" text="f" aspectratio="f"/>
                <v:textpath on="t" fitshape="t" fitpath="t" trim="t" xscale="f" string="河北省工业和信息化厅" style="font-family:方正大标宋简体;font-size:32pt;v-text-align:center;"/>
              </v:shape>
              <v:line id="_x0000_s1029" o:spid="_x0000_s1029" o:spt="20" style="position:absolute;left:0;top:1445;height:1;width:9440;" filled="f" stroked="t" coordsize="21600,21600">
                <v:path arrowok="t"/>
                <v:fill on="f" focussize="0,0"/>
                <v:stroke weight="4.5pt" color="#FF0000" linestyle="thickThin"/>
                <v:imagedata o:title=""/>
                <o:lock v:ext="edit" grouping="f" rotation="f" text="f" aspectratio="f"/>
              </v:line>
            </v:group>
            <v:line id="_x0000_s1030" o:spid="_x0000_s1030" o:spt="20" style="position:absolute;left:0;top:13636;height:1;width:9440;" filled="f" stroked="t" coordsize="21600,21600">
              <v:path arrowok="t"/>
              <v:fill on="f" focussize="0,0"/>
              <v:stroke weight="4.5pt" color="#FF0000" linestyle="thinThick"/>
              <v:imagedata o:title=""/>
              <o:lock v:ext="edit" grouping="f" rotation="f" text="f" aspectratio="f"/>
            </v:line>
          </v:group>
        </w:pict>
      </w:r>
    </w:p>
    <w:p>
      <w:pPr>
        <w:spacing w:line="600" w:lineRule="exact"/>
        <w:jc w:val="left"/>
        <w:rPr>
          <w:rFonts w:hint="default" w:ascii="Times New Roman" w:hAnsi="Times New Roman" w:eastAsia="仿宋_GB2312" w:cs="Times New Roman"/>
          <w:sz w:val="32"/>
          <w:szCs w:val="32"/>
        </w:rPr>
      </w:pPr>
    </w:p>
    <w:p>
      <w:pPr>
        <w:spacing w:line="600" w:lineRule="exact"/>
        <w:jc w:val="left"/>
        <w:rPr>
          <w:rFonts w:hint="default" w:ascii="Times New Roman" w:hAnsi="Times New Roman" w:eastAsia="仿宋_GB2312" w:cs="Times New Roman"/>
          <w:sz w:val="32"/>
          <w:szCs w:val="32"/>
        </w:rPr>
      </w:pPr>
    </w:p>
    <w:p>
      <w:pPr>
        <w:spacing w:line="600" w:lineRule="exact"/>
        <w:jc w:val="right"/>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 xml:space="preserve">                  冀工信</w:t>
      </w:r>
      <w:r>
        <w:rPr>
          <w:rFonts w:hint="eastAsia" w:ascii="Times New Roman" w:hAnsi="Times New Roman" w:eastAsia="仿宋_GB2312" w:cs="Times New Roman"/>
          <w:color w:val="auto"/>
          <w:sz w:val="32"/>
          <w:szCs w:val="32"/>
          <w:lang w:eastAsia="zh-CN"/>
        </w:rPr>
        <w:t>节</w:t>
      </w:r>
      <w:r>
        <w:rPr>
          <w:rFonts w:hint="default" w:ascii="Times New Roman" w:hAnsi="Times New Roman" w:eastAsia="仿宋_GB2312" w:cs="Times New Roman"/>
          <w:sz w:val="32"/>
          <w:szCs w:val="32"/>
        </w:rPr>
        <w:t>函〔</w:t>
      </w:r>
      <w:r>
        <w:rPr>
          <w:rFonts w:hint="eastAsia" w:ascii="Times New Roman" w:hAnsi="Times New Roman" w:eastAsia="黑体" w:cs="Times New Roman"/>
          <w:color w:val="auto"/>
          <w:sz w:val="32"/>
          <w:szCs w:val="32"/>
          <w:lang w:val="en-US" w:eastAsia="zh-CN"/>
        </w:rPr>
        <w:t>2020</w:t>
      </w:r>
      <w:r>
        <w:rPr>
          <w:rFonts w:hint="default" w:ascii="Times New Roman" w:hAnsi="Times New Roman" w:eastAsia="仿宋_GB2312" w:cs="Times New Roman"/>
          <w:sz w:val="32"/>
          <w:szCs w:val="32"/>
        </w:rPr>
        <w:t>〕</w:t>
      </w:r>
      <w:r>
        <w:rPr>
          <w:rFonts w:hint="eastAsia" w:ascii="Times New Roman" w:hAnsi="Times New Roman" w:eastAsia="黑体" w:cs="Times New Roman"/>
          <w:color w:val="auto"/>
          <w:sz w:val="32"/>
          <w:szCs w:val="32"/>
          <w:lang w:val="en-US" w:eastAsia="zh-CN"/>
        </w:rPr>
        <w:t>600</w:t>
      </w:r>
      <w:r>
        <w:rPr>
          <w:rFonts w:hint="default" w:ascii="Times New Roman" w:hAnsi="Times New Roman" w:eastAsia="仿宋_GB2312" w:cs="Times New Roman"/>
          <w:bCs/>
          <w:sz w:val="32"/>
          <w:szCs w:val="32"/>
        </w:rPr>
        <w:t>号</w:t>
      </w:r>
    </w:p>
    <w:p>
      <w:pPr>
        <w:spacing w:line="600" w:lineRule="exact"/>
        <w:jc w:val="center"/>
        <w:rPr>
          <w:rFonts w:hint="default" w:ascii="Times New Roman" w:hAnsi="Times New Roman" w:eastAsia="文星简大标宋" w:cs="Times New Roman"/>
          <w:sz w:val="44"/>
          <w:szCs w:val="44"/>
        </w:rPr>
      </w:pPr>
    </w:p>
    <w:p>
      <w:pPr>
        <w:spacing w:line="600" w:lineRule="exact"/>
        <w:jc w:val="center"/>
        <w:rPr>
          <w:rFonts w:hint="eastAsia" w:ascii="文星简大标宋" w:hAnsi="文星简大标宋" w:eastAsia="文星简大标宋" w:cs="文星简大标宋"/>
          <w:bCs/>
          <w:sz w:val="44"/>
        </w:rPr>
      </w:pPr>
      <w:r>
        <w:rPr>
          <w:rFonts w:hint="eastAsia" w:ascii="文星简大标宋" w:hAnsi="文星简大标宋" w:eastAsia="文星简大标宋" w:cs="文星简大标宋"/>
          <w:bCs/>
          <w:sz w:val="44"/>
        </w:rPr>
        <w:t>河北省工业和信息化厅</w:t>
      </w:r>
    </w:p>
    <w:p>
      <w:pPr>
        <w:spacing w:line="600" w:lineRule="exact"/>
        <w:jc w:val="center"/>
        <w:rPr>
          <w:rFonts w:hint="default" w:ascii="Times New Roman" w:hAnsi="Times New Roman" w:eastAsia="文星简大标宋" w:cs="Times New Roman"/>
          <w:bCs/>
          <w:sz w:val="44"/>
          <w:lang w:eastAsia="zh-CN"/>
        </w:rPr>
      </w:pPr>
      <w:r>
        <w:rPr>
          <w:rFonts w:hint="eastAsia" w:ascii="文星简大标宋" w:hAnsi="文星简大标宋" w:eastAsia="文星简大标宋" w:cs="文星简大标宋"/>
          <w:bCs/>
          <w:sz w:val="44"/>
        </w:rPr>
        <w:t>关于</w:t>
      </w:r>
      <w:r>
        <w:rPr>
          <w:rFonts w:hint="default" w:ascii="Times New Roman" w:hAnsi="Times New Roman" w:eastAsia="文星简大标宋" w:cs="Times New Roman"/>
          <w:bCs/>
          <w:sz w:val="44"/>
          <w:lang w:val="en-US" w:eastAsia="zh-CN"/>
        </w:rPr>
        <w:t>发布20</w:t>
      </w:r>
      <w:r>
        <w:rPr>
          <w:rFonts w:hint="eastAsia" w:ascii="Times New Roman" w:hAnsi="Times New Roman" w:eastAsia="文星简大标宋" w:cs="Times New Roman"/>
          <w:bCs/>
          <w:sz w:val="44"/>
          <w:lang w:val="en-US" w:eastAsia="zh-CN"/>
        </w:rPr>
        <w:t>20</w:t>
      </w:r>
      <w:r>
        <w:rPr>
          <w:rFonts w:hint="default" w:ascii="Times New Roman" w:hAnsi="Times New Roman" w:eastAsia="文星简大标宋" w:cs="Times New Roman"/>
          <w:bCs/>
          <w:sz w:val="44"/>
          <w:lang w:val="en-US" w:eastAsia="zh-CN"/>
        </w:rPr>
        <w:t>年</w:t>
      </w:r>
      <w:r>
        <w:rPr>
          <w:rFonts w:hint="default" w:ascii="Times New Roman" w:hAnsi="Times New Roman" w:eastAsia="文星简大标宋" w:cs="Times New Roman"/>
          <w:bCs/>
          <w:sz w:val="44"/>
          <w:lang w:eastAsia="zh-CN"/>
        </w:rPr>
        <w:t>工业转型升级绿色制造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rPr>
      </w:pPr>
      <w:r>
        <w:rPr>
          <w:rFonts w:hint="default" w:ascii="Times New Roman" w:hAnsi="Times New Roman" w:eastAsia="文星简大标宋" w:cs="Times New Roman"/>
          <w:bCs/>
          <w:sz w:val="44"/>
          <w:lang w:eastAsia="zh-CN"/>
        </w:rPr>
        <w:t>工程实施方案的通知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各市（含定州、辛集市）工业和信息化局，雄安新区改革发展局：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为</w:t>
      </w:r>
      <w:r>
        <w:rPr>
          <w:rFonts w:hint="eastAsia" w:ascii="Times New Roman" w:hAnsi="Times New Roman" w:eastAsia="仿宋_GB2312" w:cs="Times New Roman"/>
          <w:sz w:val="32"/>
          <w:szCs w:val="32"/>
          <w:lang w:val="en-US" w:eastAsia="zh-CN"/>
        </w:rPr>
        <w:t>加快绿色制造体系建设，</w:t>
      </w:r>
      <w:r>
        <w:rPr>
          <w:rFonts w:hint="default" w:ascii="Times New Roman" w:hAnsi="Times New Roman" w:eastAsia="仿宋_GB2312" w:cs="Times New Roman"/>
          <w:sz w:val="32"/>
          <w:szCs w:val="32"/>
          <w:lang w:val="en-US" w:eastAsia="zh-CN"/>
        </w:rPr>
        <w:t>提升工业绿色发展水平，省厅制定了20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年工业转型升级绿色制造工程实施方案，请认真组织实施。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一、总体</w:t>
      </w:r>
      <w:r>
        <w:rPr>
          <w:rFonts w:hint="default" w:ascii="Times New Roman" w:hAnsi="Times New Roman" w:eastAsia="黑体" w:cs="Times New Roman"/>
          <w:kern w:val="0"/>
          <w:sz w:val="32"/>
          <w:szCs w:val="32"/>
          <w:lang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落实国家绿色制造工程实施指南</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省</w:t>
      </w:r>
      <w:r>
        <w:rPr>
          <w:rFonts w:hint="eastAsia" w:ascii="Times New Roman" w:hAnsi="Times New Roman" w:eastAsia="仿宋_GB2312" w:cs="Times New Roman"/>
          <w:sz w:val="32"/>
          <w:szCs w:val="32"/>
          <w:lang w:val="en-US" w:eastAsia="zh-CN"/>
        </w:rPr>
        <w:t>厅年度工作部署要求，</w:t>
      </w:r>
      <w:r>
        <w:rPr>
          <w:rFonts w:hint="default" w:ascii="Times New Roman" w:hAnsi="Times New Roman" w:eastAsia="仿宋_GB2312" w:cs="Times New Roman"/>
          <w:sz w:val="32"/>
          <w:szCs w:val="32"/>
          <w:lang w:val="en-US" w:eastAsia="zh-CN"/>
        </w:rPr>
        <w:t>围绕促进制造业</w:t>
      </w:r>
      <w:r>
        <w:rPr>
          <w:rFonts w:hint="eastAsia" w:ascii="Times New Roman" w:hAnsi="Times New Roman" w:eastAsia="仿宋_GB2312" w:cs="Times New Roman"/>
          <w:sz w:val="32"/>
          <w:szCs w:val="32"/>
          <w:lang w:val="en-US" w:eastAsia="zh-CN"/>
        </w:rPr>
        <w:t>绿色</w:t>
      </w:r>
      <w:r>
        <w:rPr>
          <w:rFonts w:hint="default" w:ascii="Times New Roman" w:hAnsi="Times New Roman" w:eastAsia="仿宋_GB2312" w:cs="Times New Roman"/>
          <w:sz w:val="32"/>
          <w:szCs w:val="32"/>
          <w:lang w:val="en-US" w:eastAsia="zh-CN"/>
        </w:rPr>
        <w:t>发展和生态文明建设，以绿色工厂、绿色园区、绿色产品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绿色供应链</w:t>
      </w:r>
      <w:r>
        <w:rPr>
          <w:rFonts w:hint="eastAsia" w:ascii="Times New Roman" w:hAnsi="Times New Roman" w:eastAsia="仿宋_GB2312" w:cs="Times New Roman"/>
          <w:sz w:val="32"/>
          <w:szCs w:val="32"/>
          <w:lang w:val="en-US" w:eastAsia="zh-CN"/>
        </w:rPr>
        <w:t>和绿色服务</w:t>
      </w:r>
      <w:r>
        <w:rPr>
          <w:rFonts w:hint="default" w:ascii="Times New Roman" w:hAnsi="Times New Roman" w:eastAsia="仿宋_GB2312" w:cs="Times New Roman"/>
          <w:sz w:val="32"/>
          <w:szCs w:val="32"/>
          <w:lang w:val="en-US" w:eastAsia="zh-CN"/>
        </w:rPr>
        <w:t>为抓手，持续打造绿色制造先进典型，引领重点行业绿色转型，加快建立高效、清洁、低碳、循环的绿色制造体系。</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二、主要任务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 xml:space="preserve">    （一）绿色工厂。</w:t>
      </w:r>
      <w:r>
        <w:rPr>
          <w:rFonts w:hint="eastAsia"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lang w:val="en-US" w:eastAsia="zh-CN"/>
        </w:rPr>
        <w:t>钢铁、化工、建材、机械、汽车、轻工、食品、纺织、医药、电子信息等行业企业，以用地集约化、原料无害化、生产洁净化、废物资源化、能源低碳化为重点，创建一批绿色工厂。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 xml:space="preserve">    （二）绿色园区。</w:t>
      </w:r>
      <w:r>
        <w:rPr>
          <w:rFonts w:hint="eastAsia" w:ascii="Times New Roman" w:hAnsi="Times New Roman" w:eastAsia="仿宋_GB2312" w:cs="Times New Roman"/>
          <w:sz w:val="32"/>
          <w:szCs w:val="32"/>
          <w:lang w:val="en-US" w:eastAsia="zh-CN"/>
        </w:rPr>
        <w:t>积极推动</w:t>
      </w:r>
      <w:r>
        <w:rPr>
          <w:rFonts w:hint="default" w:ascii="Times New Roman" w:hAnsi="Times New Roman" w:eastAsia="仿宋_GB2312" w:cs="Times New Roman"/>
          <w:sz w:val="32"/>
          <w:szCs w:val="32"/>
          <w:lang w:val="en-US" w:eastAsia="zh-CN"/>
        </w:rPr>
        <w:t>以产品制造和能源供给为主要功能、工业增加值占比超过50%、具备统一管理机构的省级以上工业园区，以企业集聚发展、产业生态链接、服务平台建设为重点，创建一批绿色园区。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 xml:space="preserve">    （三）绿色产品。</w:t>
      </w:r>
      <w:r>
        <w:rPr>
          <w:rFonts w:hint="eastAsia" w:ascii="Times New Roman" w:hAnsi="Times New Roman" w:eastAsia="仿宋_GB2312" w:cs="Times New Roman"/>
          <w:sz w:val="32"/>
          <w:szCs w:val="32"/>
          <w:lang w:val="en-US" w:eastAsia="zh-CN"/>
        </w:rPr>
        <w:t>积极推动</w:t>
      </w:r>
      <w:r>
        <w:rPr>
          <w:rFonts w:hint="default" w:ascii="Times New Roman" w:hAnsi="Times New Roman" w:eastAsia="仿宋_GB2312" w:cs="Times New Roman"/>
          <w:sz w:val="32"/>
          <w:szCs w:val="32"/>
          <w:lang w:val="en-US" w:eastAsia="zh-CN"/>
        </w:rPr>
        <w:t>在汽车、电子信息、家具等重点领域开展工业企业绿色产品设计示范，以轻量化、无害化、节能降噪、资源节约、易制造、易回收、高可靠性和长寿命等为重点，打造一批绿色设计产品。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（四）绿色供应链。</w:t>
      </w:r>
      <w:r>
        <w:rPr>
          <w:rFonts w:hint="eastAsia"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lang w:val="en-US" w:eastAsia="zh-CN"/>
        </w:rPr>
        <w:t>汽车、电子电器、通信及大型成套装备机械等行业核心制造企业，以资源节约、环境友好为导向，以采购、生产、营销、回收及物流体系为重点，打造一批绿色供应链管理示范企业。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楷体" w:cs="Times New Roman"/>
          <w:b w:val="0"/>
          <w:bCs w:val="0"/>
          <w:sz w:val="32"/>
          <w:szCs w:val="32"/>
          <w:lang w:val="en-US" w:eastAsia="zh-CN"/>
        </w:rPr>
        <w:t>（五）绿色服务。</w:t>
      </w:r>
      <w:r>
        <w:rPr>
          <w:rFonts w:hint="eastAsia" w:ascii="Times New Roman" w:hAnsi="Times New Roman" w:eastAsia="仿宋_GB2312" w:cs="Times New Roman"/>
          <w:sz w:val="32"/>
          <w:szCs w:val="32"/>
          <w:lang w:val="en-US" w:eastAsia="zh-CN"/>
        </w:rPr>
        <w:t>鼓励发展先进、适用、推广价值高的绿色技术，推广应用</w:t>
      </w:r>
      <w:r>
        <w:rPr>
          <w:rFonts w:hint="default" w:ascii="Times New Roman" w:hAnsi="Times New Roman" w:eastAsia="仿宋_GB2312" w:cs="Times New Roman"/>
          <w:sz w:val="32"/>
          <w:szCs w:val="32"/>
          <w:lang w:val="en-US" w:eastAsia="zh-CN"/>
        </w:rPr>
        <w:t>国家鼓励发展的重大环保技术装备</w:t>
      </w:r>
      <w:r>
        <w:rPr>
          <w:rFonts w:hint="eastAsia" w:ascii="Times New Roman" w:hAnsi="Times New Roman" w:eastAsia="仿宋_GB2312" w:cs="Times New Roman"/>
          <w:sz w:val="32"/>
          <w:szCs w:val="32"/>
          <w:lang w:val="en-US" w:eastAsia="zh-CN"/>
        </w:rPr>
        <w:t>，培育一批绿色制造系统解决方案供应商，建设一批国家绿色数据中心，推进实施一批绿色改造和绿色设计平台建设项目，打造绿色制造公共服务平台。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lang w:val="en-US" w:eastAsia="zh-CN"/>
        </w:rPr>
        <w:t>、组织实施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w:t>
      </w:r>
      <w:r>
        <w:rPr>
          <w:rFonts w:hint="default" w:ascii="Times New Roman" w:hAnsi="Times New Roman" w:eastAsia="楷体" w:cs="Times New Roman"/>
          <w:b w:val="0"/>
          <w:bCs w:val="0"/>
          <w:sz w:val="32"/>
          <w:szCs w:val="32"/>
          <w:shd w:val="clear" w:color="auto" w:fill="FFFFFF"/>
          <w:lang w:eastAsia="zh-CN"/>
        </w:rPr>
        <w:t>申报</w:t>
      </w:r>
      <w:r>
        <w:rPr>
          <w:rFonts w:hint="default" w:ascii="Times New Roman" w:hAnsi="Times New Roman" w:eastAsia="楷体" w:cs="Times New Roman"/>
          <w:b w:val="0"/>
          <w:bCs w:val="0"/>
          <w:sz w:val="32"/>
          <w:szCs w:val="32"/>
          <w:shd w:val="clear" w:color="auto" w:fill="FFFFFF"/>
        </w:rPr>
        <w:t>范围。</w:t>
      </w:r>
      <w:r>
        <w:rPr>
          <w:rFonts w:hint="default" w:ascii="Times New Roman" w:hAnsi="Times New Roman" w:eastAsia="仿宋_GB2312" w:cs="Times New Roman"/>
          <w:sz w:val="32"/>
          <w:szCs w:val="32"/>
          <w:lang w:val="en-US" w:eastAsia="zh-CN"/>
        </w:rPr>
        <w:t>一是聚焦传统优势产业绿色改造提升和战略性新兴产业培育壮大，选择一批基础好、代表性强的企业和园区，开展绿色工厂和绿色园区创建工作。二是绿色设计产品申报范围请登陆工业和信息化部节能与综合利用司网站，在“绿色设计产品标准清单”中查看。三是绿色供应链管理示范企业以汽车、航空航天、电子电器、通信、大型成套装备机械、纺织服装、建材等行业中代表性强、影响力大、经营实力雄厚、绿色供应链管理基础好的核心制造企业为申报重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w:t>
      </w:r>
      <w:r>
        <w:rPr>
          <w:rFonts w:hint="eastAsia" w:ascii="Times New Roman" w:hAnsi="Times New Roman" w:eastAsia="楷体" w:cs="Times New Roman"/>
          <w:b w:val="0"/>
          <w:bCs w:val="0"/>
          <w:sz w:val="32"/>
          <w:szCs w:val="32"/>
          <w:lang w:val="en-US" w:eastAsia="zh-CN"/>
        </w:rPr>
        <w:t>二</w:t>
      </w:r>
      <w:r>
        <w:rPr>
          <w:rFonts w:hint="default" w:ascii="Times New Roman" w:hAnsi="Times New Roman" w:eastAsia="楷体" w:cs="Times New Roman"/>
          <w:b w:val="0"/>
          <w:bCs w:val="0"/>
          <w:sz w:val="32"/>
          <w:szCs w:val="32"/>
          <w:lang w:val="en-US" w:eastAsia="zh-CN"/>
        </w:rPr>
        <w:t>）工作程序</w:t>
      </w:r>
      <w:r>
        <w:rPr>
          <w:rFonts w:hint="eastAsia" w:ascii="Times New Roman" w:hAnsi="Times New Roman" w:eastAsia="楷体"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经申报单位自评价、第三方机构评价、各市工业和信息化主管部门初审推荐，省厅评估确认及专家论证、公示等环节，确定</w:t>
      </w:r>
      <w:r>
        <w:rPr>
          <w:rFonts w:hint="eastAsia" w:ascii="Times New Roman" w:hAnsi="Times New Roman" w:eastAsia="仿宋_GB2312" w:cs="Times New Roman"/>
          <w:sz w:val="32"/>
          <w:szCs w:val="32"/>
          <w:lang w:val="en-US" w:eastAsia="zh-CN"/>
        </w:rPr>
        <w:t>第三批</w:t>
      </w:r>
      <w:r>
        <w:rPr>
          <w:rFonts w:hint="default" w:ascii="Times New Roman" w:hAnsi="Times New Roman" w:eastAsia="仿宋_GB2312" w:cs="Times New Roman"/>
          <w:sz w:val="32"/>
          <w:szCs w:val="32"/>
          <w:lang w:val="en-US" w:eastAsia="zh-CN"/>
        </w:rPr>
        <w:t>绿色制造名单。</w:t>
      </w:r>
      <w:r>
        <w:rPr>
          <w:rFonts w:hint="eastAsia"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lang w:val="en-US" w:eastAsia="zh-CN"/>
        </w:rPr>
        <w:t>绿色工厂申报，须由当地生态环境主管部门出具近三年均未发生较大及以上环保安全等事故、不存在环保处罚未整改行为</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相关证明。申报企业出具未被列入失信企业、法人代表黑名单</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真实性声明。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 xml:space="preserve">    （三）申报时限</w:t>
      </w:r>
      <w:r>
        <w:rPr>
          <w:rFonts w:hint="default" w:ascii="Times New Roman" w:hAnsi="Times New Roman" w:eastAsia="仿宋_GB2312" w:cs="Times New Roman"/>
          <w:sz w:val="32"/>
          <w:szCs w:val="32"/>
          <w:lang w:val="en-US" w:eastAsia="zh-CN"/>
        </w:rPr>
        <w:t>，请各</w:t>
      </w:r>
      <w:r>
        <w:rPr>
          <w:rFonts w:hint="eastAsia"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lang w:val="en-US" w:eastAsia="zh-CN"/>
        </w:rPr>
        <w:t>于20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日前将推荐文件（一式两份）及申报单位自评价材料、第三方评价材料（纸质版各一式三份，分别含电子版光盘一份）报厅节能与综合利用处（联系人及电话：孙宇飞  87800807）。</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四</w:t>
      </w:r>
      <w:r>
        <w:rPr>
          <w:rFonts w:hint="default" w:ascii="Times New Roman" w:hAnsi="Times New Roman" w:eastAsia="黑体" w:cs="Times New Roman"/>
          <w:kern w:val="0"/>
          <w:sz w:val="32"/>
          <w:szCs w:val="32"/>
          <w:lang w:eastAsia="zh-CN"/>
        </w:rPr>
        <w:t>、</w:t>
      </w:r>
      <w:r>
        <w:rPr>
          <w:rFonts w:hint="eastAsia" w:ascii="Times New Roman" w:hAnsi="Times New Roman" w:eastAsia="黑体" w:cs="Times New Roman"/>
          <w:kern w:val="0"/>
          <w:sz w:val="32"/>
          <w:szCs w:val="32"/>
          <w:lang w:eastAsia="zh-CN"/>
        </w:rPr>
        <w:t>有关要求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w:t>
      </w:r>
      <w:r>
        <w:rPr>
          <w:rFonts w:hint="eastAsia" w:ascii="Times New Roman" w:hAnsi="Times New Roman" w:eastAsia="楷体" w:cs="Times New Roman"/>
          <w:b w:val="0"/>
          <w:bCs w:val="0"/>
          <w:sz w:val="32"/>
          <w:szCs w:val="32"/>
          <w:lang w:val="en-US" w:eastAsia="zh-CN"/>
        </w:rPr>
        <w:t>一</w:t>
      </w:r>
      <w:r>
        <w:rPr>
          <w:rFonts w:hint="default" w:ascii="Times New Roman" w:hAnsi="Times New Roman" w:eastAsia="楷体" w:cs="Times New Roman"/>
          <w:b w:val="0"/>
          <w:bCs w:val="0"/>
          <w:sz w:val="32"/>
          <w:szCs w:val="32"/>
          <w:lang w:val="en-US" w:eastAsia="zh-CN"/>
        </w:rPr>
        <w:t>）</w:t>
      </w:r>
      <w:r>
        <w:rPr>
          <w:rFonts w:hint="eastAsia" w:ascii="Times New Roman" w:hAnsi="Times New Roman" w:eastAsia="楷体" w:cs="Times New Roman"/>
          <w:b w:val="0"/>
          <w:bCs w:val="0"/>
          <w:sz w:val="32"/>
          <w:szCs w:val="32"/>
          <w:lang w:val="en-US" w:eastAsia="zh-CN"/>
        </w:rPr>
        <w:t>完善</w:t>
      </w:r>
      <w:r>
        <w:rPr>
          <w:rFonts w:hint="default" w:ascii="Times New Roman" w:hAnsi="Times New Roman" w:eastAsia="楷体" w:cs="Times New Roman"/>
          <w:b w:val="0"/>
          <w:bCs w:val="0"/>
          <w:sz w:val="32"/>
          <w:szCs w:val="32"/>
          <w:lang w:val="en-US" w:eastAsia="zh-CN"/>
        </w:rPr>
        <w:t>评价</w:t>
      </w:r>
      <w:r>
        <w:rPr>
          <w:rFonts w:hint="eastAsia" w:ascii="Times New Roman" w:hAnsi="Times New Roman" w:eastAsia="楷体" w:cs="Times New Roman"/>
          <w:b w:val="0"/>
          <w:bCs w:val="0"/>
          <w:sz w:val="32"/>
          <w:szCs w:val="32"/>
          <w:lang w:val="en-US" w:eastAsia="zh-CN"/>
        </w:rPr>
        <w:t>体系</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省级评价标准参照国家级绿色工厂、绿色园区、绿色设计产品和绿色供应链的评价有关要求。一是满足申报条件的企业和园区，对照相关标准和要求进行自评价。二是企业和园区自评价达到绿色工厂、绿色园区、绿色供应链标准时，委托符合条件的第三方评价机构（优先推荐工业和信息化部发布的工业节能与绿色发展评价中心）开展第三方评价。三是绿色设计产品编写自评价报告，采用自我声明方式，不需第三方现场评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b w:val="0"/>
          <w:bCs w:val="0"/>
          <w:sz w:val="32"/>
          <w:szCs w:val="32"/>
          <w:lang w:val="en-US" w:eastAsia="zh-CN"/>
        </w:rPr>
        <w:t>（二）加强政策引导</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一是列入绿色制造名单的优先推荐申报下一批国家绿色制造</w:t>
      </w:r>
      <w:r>
        <w:rPr>
          <w:rFonts w:hint="eastAsia" w:ascii="Times New Roman" w:hAnsi="Times New Roman" w:eastAsia="仿宋_GB2312" w:cs="Times New Roman"/>
          <w:sz w:val="32"/>
          <w:szCs w:val="32"/>
          <w:lang w:val="en-US" w:eastAsia="zh-CN"/>
        </w:rPr>
        <w:t>名单</w:t>
      </w:r>
      <w:r>
        <w:rPr>
          <w:rFonts w:hint="default" w:ascii="Times New Roman" w:hAnsi="Times New Roman" w:eastAsia="仿宋_GB2312" w:cs="Times New Roman"/>
          <w:sz w:val="32"/>
          <w:szCs w:val="32"/>
          <w:lang w:val="en-US" w:eastAsia="zh-CN"/>
        </w:rPr>
        <w:t>创建单位</w:t>
      </w:r>
      <w:r>
        <w:rPr>
          <w:rFonts w:hint="eastAsia" w:ascii="Times New Roman" w:hAnsi="Times New Roman" w:eastAsia="仿宋_GB2312" w:cs="Times New Roman"/>
          <w:sz w:val="32"/>
          <w:szCs w:val="32"/>
          <w:lang w:val="en-US" w:eastAsia="zh-CN"/>
        </w:rPr>
        <w:t>，绿色设计产品推荐国家认定</w:t>
      </w:r>
      <w:r>
        <w:rPr>
          <w:rFonts w:hint="default" w:ascii="Times New Roman" w:hAnsi="Times New Roman" w:eastAsia="仿宋_GB2312" w:cs="Times New Roman"/>
          <w:sz w:val="32"/>
          <w:szCs w:val="32"/>
          <w:lang w:val="en-US" w:eastAsia="zh-CN"/>
        </w:rPr>
        <w:t>。二是对</w:t>
      </w:r>
      <w:r>
        <w:rPr>
          <w:rFonts w:hint="eastAsia" w:ascii="Times New Roman" w:hAnsi="Times New Roman" w:eastAsia="仿宋_GB2312" w:cs="Times New Roman"/>
          <w:sz w:val="32"/>
          <w:szCs w:val="32"/>
          <w:lang w:val="en-US" w:eastAsia="zh-CN"/>
        </w:rPr>
        <w:t>涉及绿色制造体系建设、</w:t>
      </w:r>
      <w:r>
        <w:rPr>
          <w:rFonts w:hint="default" w:ascii="Times New Roman" w:hAnsi="Times New Roman" w:eastAsia="仿宋_GB2312" w:cs="Times New Roman"/>
          <w:sz w:val="32"/>
          <w:szCs w:val="32"/>
          <w:lang w:val="en-US" w:eastAsia="zh-CN"/>
        </w:rPr>
        <w:t>符合条件的绿色改造提升项目，省级工业转型升级（技改）专项资金将予以倾斜支持。三是对实现全面超低排放、工艺技术先进、产品优质高端的国家级绿色工厂，优先列入实施生态环境领域投资和项目建设正向鼓励清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（三）</w:t>
      </w:r>
      <w:r>
        <w:rPr>
          <w:rFonts w:hint="eastAsia" w:ascii="Times New Roman" w:hAnsi="Times New Roman" w:eastAsia="楷体" w:cs="Times New Roman"/>
          <w:b w:val="0"/>
          <w:bCs w:val="0"/>
          <w:sz w:val="32"/>
          <w:szCs w:val="32"/>
          <w:lang w:val="en-US" w:eastAsia="zh-CN"/>
        </w:rPr>
        <w:t>强化绿色服务。</w:t>
      </w:r>
      <w:r>
        <w:rPr>
          <w:rFonts w:hint="eastAsia" w:ascii="Times New Roman" w:hAnsi="Times New Roman" w:eastAsia="仿宋_GB2312" w:cs="Times New Roman"/>
          <w:sz w:val="32"/>
          <w:szCs w:val="32"/>
          <w:lang w:val="en-US" w:eastAsia="zh-CN"/>
        </w:rPr>
        <w:t>严格落实国家和省厅有关通知要求，抓好绿色技术、绿色数据中心、绿色制造项目、绿色制造系统解决方案供应商等推荐和认定工作，对相关专项绩效目标实现程度进行督导，加强绿色新技术新装备新模式的推广应用，促进制造业绿色发展、高质量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河北省工业</w:t>
      </w:r>
      <w:r>
        <w:rPr>
          <w:rFonts w:hint="default" w:ascii="Times New Roman" w:hAnsi="Times New Roman" w:eastAsia="仿宋_GB2312" w:cs="Times New Roman"/>
          <w:sz w:val="32"/>
          <w:szCs w:val="32"/>
          <w:lang w:val="en-US" w:eastAsia="zh-CN"/>
        </w:rPr>
        <w:drawing>
          <wp:anchor distT="0" distB="0" distL="114300" distR="114300" simplePos="0" relativeHeight="251659264" behindDoc="0" locked="0" layoutInCell="1" allowOverlap="1">
            <wp:simplePos x="0" y="0"/>
            <wp:positionH relativeFrom="page">
              <wp:posOffset>4083050</wp:posOffset>
            </wp:positionH>
            <wp:positionV relativeFrom="page">
              <wp:posOffset>6772910</wp:posOffset>
            </wp:positionV>
            <wp:extent cx="1619885" cy="1619885"/>
            <wp:effectExtent l="0" t="0" r="18415" b="18415"/>
            <wp:wrapNone/>
            <wp:docPr id="1" name="图片 7"/>
            <wp:cNvGraphicFramePr/>
            <a:graphic xmlns:a="http://schemas.openxmlformats.org/drawingml/2006/main">
              <a:graphicData uri="http://schemas.openxmlformats.org/drawingml/2006/picture">
                <pic:pic xmlns:pic="http://schemas.openxmlformats.org/drawingml/2006/picture">
                  <pic:nvPicPr>
                    <pic:cNvPr id="1" name="图片 7"/>
                    <pic:cNvPicPr/>
                  </pic:nvPicPr>
                  <pic:blipFill>
                    <a:blip r:embed="rId7"/>
                    <a:stretch>
                      <a:fillRect/>
                    </a:stretch>
                  </pic:blipFill>
                  <pic:spPr>
                    <a:xfrm>
                      <a:off x="0" y="0"/>
                      <a:ext cx="1619885" cy="1619885"/>
                    </a:xfrm>
                    <a:prstGeom prst="rect">
                      <a:avLst/>
                    </a:prstGeom>
                    <a:noFill/>
                    <a:ln>
                      <a:noFill/>
                    </a:ln>
                  </pic:spPr>
                </pic:pic>
              </a:graphicData>
            </a:graphic>
          </wp:anchor>
        </w:drawing>
      </w:r>
      <w:r>
        <w:rPr>
          <w:rFonts w:hint="default" w:ascii="Times New Roman" w:hAnsi="Times New Roman" w:eastAsia="仿宋_GB2312" w:cs="Times New Roman"/>
          <w:sz w:val="32"/>
          <w:szCs w:val="32"/>
          <w:lang w:val="en-US" w:eastAsia="zh-CN"/>
        </w:rPr>
        <w:t>和信息化厅</w:t>
      </w:r>
    </w:p>
    <w:p>
      <w:pPr>
        <w:spacing w:line="600" w:lineRule="exact"/>
      </w:pPr>
      <w:r>
        <w:rPr>
          <w:rFonts w:hint="default" w:ascii="Times New Roman" w:hAnsi="Times New Roman" w:eastAsia="仿宋_GB2312" w:cs="Times New Roman"/>
          <w:sz w:val="32"/>
          <w:szCs w:val="32"/>
          <w:lang w:val="en-US" w:eastAsia="zh-CN"/>
        </w:rPr>
        <w:t xml:space="preserve">                               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 xml:space="preserve">24 </w:t>
      </w:r>
      <w:r>
        <w:rPr>
          <w:rFonts w:hint="default" w:ascii="Times New Roman" w:hAnsi="Times New Roman" w:eastAsia="仿宋_GB2312" w:cs="Times New Roman"/>
          <w:sz w:val="32"/>
          <w:szCs w:val="32"/>
          <w:lang w:val="en-US" w:eastAsia="zh-CN"/>
        </w:rPr>
        <w:t>日</w:t>
      </w:r>
    </w:p>
    <w:p>
      <w:pPr>
        <w:spacing w:line="600" w:lineRule="exact"/>
        <w:textAlignment w:val="baseline"/>
        <w:rPr>
          <w:rFonts w:hint="default" w:ascii="Times New Roman" w:hAnsi="Times New Roman" w:eastAsia="仿宋_GB2312" w:cs="Times New Roman"/>
          <w:sz w:val="32"/>
        </w:rPr>
      </w:pPr>
    </w:p>
    <w:p>
      <w:pPr>
        <w:spacing w:line="20" w:lineRule="exact"/>
        <w:ind w:right="160"/>
        <w:jc w:val="right"/>
        <w:rPr>
          <w:rFonts w:eastAsia="仿宋_GB2312"/>
          <w:sz w:val="32"/>
          <w:szCs w:val="32"/>
        </w:rPr>
      </w:pPr>
    </w:p>
    <w:sectPr>
      <w:footerReference r:id="rId5" w:type="first"/>
      <w:headerReference r:id="rId3" w:type="default"/>
      <w:footerReference r:id="rId4" w:type="default"/>
      <w:pgSz w:w="11906" w:h="16838"/>
      <w:pgMar w:top="1531" w:right="1418" w:bottom="1531" w:left="1418" w:header="851" w:footer="113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文星简大标宋">
    <w:altName w:val="微软雅黑"/>
    <w:panose1 w:val="02010609000101010101"/>
    <w:charset w:val="86"/>
    <w:family w:val="modern"/>
    <w:pitch w:val="default"/>
    <w:sig w:usb0="00000000" w:usb1="00000000" w:usb2="00000000" w:usb3="00000000" w:csb0="00040001" w:csb1="00000000"/>
  </w:font>
  <w:font w:name="楷体">
    <w:panose1 w:val="02010609060101010101"/>
    <w:charset w:val="7A"/>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rect id="文本框10"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uXW5UtAAAAAFAQAADwAAAAAAAAAB&#10;ACAAAAAiAAAAZHJzL2Rvd25yZXYueG1sUEsBAhQAFAAAAAgAh07iQFqpNMymAQAAQQMAAA4AAAAA&#10;AAAAAQAgAAAAHwEAAGRycy9lMm9Eb2MueG1sUEsFBgAAAAAGAAYAWQEAADcFA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070"/>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rect id="文本框1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OsOs7qpAQAAQQMAAA4A&#10;AAAAAAAAAQAgAAAAHwEAAGRycy9lMm9Eb2MueG1sUEsFBgAAAAAGAAYAWQEAADoFA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- 1 -</w:t>
                    </w:r>
                    <w:r>
                      <w:rPr>
                        <w:rFonts w:hint="eastAsia" w:ascii="宋体" w:hAnsi="宋体" w:cs="宋体"/>
                        <w:sz w:val="28"/>
                        <w:szCs w:val="28"/>
                      </w:rPr>
                      <w:fldChar w:fldCharType="end"/>
                    </w:r>
                  </w:p>
                </w:txbxContent>
              </v:textbox>
            </v:rect>
          </w:pict>
        </mc:Fallback>
      </mc:AlternateConten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6SR0qat7LD2iFiLr4ilX1OZ0CIo=" w:salt="xBHNYDIBKiOss+2dHUppEQ=="/>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6C3047"/>
    <w:rsid w:val="1AE443B5"/>
    <w:rsid w:val="4E0319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29"/>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31</Words>
  <Characters>183</Characters>
  <Lines>1</Lines>
  <Paragraphs>1</Paragraphs>
  <TotalTime>18</TotalTime>
  <ScaleCrop>false</ScaleCrop>
  <LinksUpToDate>false</LinksUpToDate>
  <CharactersWithSpaces>213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2011-11-13T17:48:00Z</dcterms:created>
  <dc:creator>霍海滨</dc:creator>
  <cp:lastModifiedBy>李艳红</cp:lastModifiedBy>
  <dcterms:modified xsi:type="dcterms:W3CDTF">2020-09-01T06:32:58Z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